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B5" w:rsidRDefault="00FA24B5" w:rsidP="00FA24B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4B5">
        <w:rPr>
          <w:rFonts w:ascii="Times New Roman" w:hAnsi="Times New Roman" w:cs="Times New Roman"/>
          <w:b/>
          <w:bCs/>
          <w:sz w:val="24"/>
          <w:szCs w:val="24"/>
          <w:lang w:val="en-US"/>
        </w:rPr>
        <w:t>Combating tax evasion and avoidance: EU and Kazakhstan’s experiences</w:t>
      </w:r>
    </w:p>
    <w:p w:rsidR="00FA24B5" w:rsidRPr="00FA24B5" w:rsidRDefault="00FA24B5" w:rsidP="00FA24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85962" w:rsidRPr="00FA24B5" w:rsidRDefault="00AF2B02" w:rsidP="00FA24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4B5">
        <w:rPr>
          <w:rFonts w:ascii="Times New Roman" w:hAnsi="Times New Roman" w:cs="Times New Roman"/>
          <w:sz w:val="24"/>
          <w:szCs w:val="24"/>
          <w:lang w:val="en-US"/>
        </w:rPr>
        <w:t>Avoidance of tax provisions is an outcome of the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 infinite struggle between the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principles of legal certainty on one side and freedom of business activity on the other: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between the legal form of the commercial operations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 and the substance of the aims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pursued by the taxpayers.</w:t>
      </w:r>
    </w:p>
    <w:p w:rsidR="00DD5D67" w:rsidRPr="00FA24B5" w:rsidRDefault="00DD5D67" w:rsidP="00FA24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4B5">
        <w:rPr>
          <w:rFonts w:ascii="Times New Roman" w:hAnsi="Times New Roman" w:cs="Times New Roman"/>
          <w:sz w:val="24"/>
          <w:szCs w:val="24"/>
          <w:lang w:val="en-US"/>
        </w:rPr>
        <w:t>Defining tax avoidance has been always a nearly impossible quest for tax lawyers. In Contine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ntal Europe, however, it could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be said that the notion of "avoidance" is strongly embedded to the concept of "abuse" of a righ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t, being an "abuse", according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to the Roman law tradition, the exercise of a right inconsistently with the general principles of c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orrectness, good faith or even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with the basic rules of ethics. Therefore the definition of avoidance is not purely legal, but it dep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ends also on other disciplines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which influence it. In EU law qualifying avoidance is even more complex as the law of the U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nion is nearly deprived of any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influence by other systems of values, the only general principles to rely on are th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e fundamental freedoms and the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nondiscrimination principle both enshrined in the Treaty. That is why when in recent cases the Co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urt had to rule on the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"abuse of law" it did its best to find principles or values to build the concept on. The results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re different in direct tax and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in VAT cases: the notion of abuse can be wider in some of them and narrower in some others as far as i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t depends on the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background to the specific provisions discussed. In case of the VAT the system is more complex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 and the court has to strike a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balance between the need for neutrality of the tax and the coherence. In direct tax cases only the Treaty is app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licable, and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together with it the freedoms bestowed upon the taxpayer who can make the most of them in a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ny case, unless the purpose of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the scheme i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mplemented is</w:t>
      </w:r>
      <w:r w:rsidR="00460BC8"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only to save taxes</w:t>
      </w:r>
      <w:r w:rsidR="00460BC8" w:rsidRPr="00FA24B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60BC8" w:rsidRPr="00FA24B5" w:rsidRDefault="00460BC8" w:rsidP="00FA24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4B5">
        <w:rPr>
          <w:rFonts w:ascii="Times New Roman" w:hAnsi="Times New Roman" w:cs="Times New Roman"/>
          <w:sz w:val="24"/>
          <w:szCs w:val="24"/>
          <w:lang w:val="en-US"/>
        </w:rPr>
        <w:t>The Italian tax system has alwa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ys been fragmented and missing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of general, overarching principles applicable to the taxes as such: no common procedural rules, different compliance duties and an unclear Statute of limitation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(as it changes tax per tax and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according to the phase of activity by the Revenue service). </w:t>
      </w:r>
    </w:p>
    <w:p w:rsidR="00460BC8" w:rsidRPr="00CC083B" w:rsidRDefault="00460BC8" w:rsidP="00CC08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In this respect Tax </w:t>
      </w:r>
      <w:proofErr w:type="gramStart"/>
      <w:r w:rsidRPr="00FA24B5">
        <w:rPr>
          <w:rFonts w:ascii="Times New Roman" w:hAnsi="Times New Roman" w:cs="Times New Roman"/>
          <w:sz w:val="24"/>
          <w:szCs w:val="24"/>
          <w:lang w:val="en-US"/>
        </w:rPr>
        <w:t>law has never been codified in the Italian legal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 experience, nor are</w:t>
      </w:r>
      <w:proofErr w:type="gramEnd"/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 there are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currently sound proposals in this sense. The lack of common, shared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 rules applicable to different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taxes determined, as consequence the impossibility to address avoida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nce in the same way for direct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taxes, VAT and local ones.</w:t>
      </w:r>
    </w:p>
    <w:p w:rsidR="00AF2B02" w:rsidRPr="00FA24B5" w:rsidRDefault="00AF2B02" w:rsidP="00FA24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4B5">
        <w:rPr>
          <w:rFonts w:ascii="Times New Roman" w:hAnsi="Times New Roman" w:cs="Times New Roman"/>
          <w:sz w:val="24"/>
          <w:szCs w:val="24"/>
          <w:lang w:val="en-US"/>
        </w:rPr>
        <w:t>The purpose of this contribution is therefore less far-r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eaching. The basic assumptions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are that (1) the problems avoidance </w:t>
      </w:r>
      <w:proofErr w:type="spellStart"/>
      <w:r w:rsidRPr="00FA24B5">
        <w:rPr>
          <w:rFonts w:ascii="Times New Roman" w:hAnsi="Times New Roman" w:cs="Times New Roman"/>
          <w:sz w:val="24"/>
          <w:szCs w:val="24"/>
          <w:lang w:val="en-US"/>
        </w:rPr>
        <w:t>raisesare</w:t>
      </w:r>
      <w:proofErr w:type="spellEnd"/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 not li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mited to tax law and (2) it is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necessary to </w:t>
      </w:r>
      <w:proofErr w:type="spellStart"/>
      <w:r w:rsidRPr="00FA24B5">
        <w:rPr>
          <w:rFonts w:ascii="Times New Roman" w:hAnsi="Times New Roman" w:cs="Times New Roman"/>
          <w:sz w:val="24"/>
          <w:szCs w:val="24"/>
          <w:lang w:val="en-US"/>
        </w:rPr>
        <w:t>analyse</w:t>
      </w:r>
      <w:proofErr w:type="spellEnd"/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 avoidance of law in order to understa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nd better the features and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the characteristics of it when dealing with tax law. Anot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her assumption is that (3) the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EU tax </w:t>
      </w:r>
      <w:proofErr w:type="spellStart"/>
      <w:r w:rsidRPr="00FA24B5">
        <w:rPr>
          <w:rFonts w:ascii="Times New Roman" w:hAnsi="Times New Roman" w:cs="Times New Roman"/>
          <w:sz w:val="24"/>
          <w:szCs w:val="24"/>
          <w:lang w:val="en-US"/>
        </w:rPr>
        <w:t>harmonisation</w:t>
      </w:r>
      <w:proofErr w:type="spellEnd"/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 via regulations, directi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ves, soft law and ECJ case law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progressively compels the legal systems of the different membe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r States to converge on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specific characteristics necessarily found in all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the tax planning schemes to be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qualified as avoidant, even if these conditions might c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hange from tax to tax. However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this final result will be difficult to achieve as the fight ag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ainst tax avoidance is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intrinsically national in its roots, depending as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it does on factors that do not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necessarily belong to the tax systems;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 coming back in this way to.</w:t>
      </w:r>
    </w:p>
    <w:p w:rsidR="00DD5D67" w:rsidRPr="00FA24B5" w:rsidRDefault="00DD5D67" w:rsidP="00FA24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4B5">
        <w:rPr>
          <w:rFonts w:ascii="Times New Roman" w:hAnsi="Times New Roman" w:cs="Times New Roman"/>
          <w:sz w:val="24"/>
          <w:szCs w:val="24"/>
          <w:lang w:val="en-US"/>
        </w:rPr>
        <w:t>Anything started with the 2013 BEPS Action plan inspir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ed by the OECD and, with that,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the need to reconsider traditional rules in International taxation law.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Apparently, principles set out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in the mid of the twenties by the League of Nations were not con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sidered any longer adequate to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address the most complicated tax planning schemes enacted by MN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E, including the use of hybrid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financial instruments, transparent entities and so on. Currently, interna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tional literature has explored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at large the most significant aspects of the BEPS Action plan.</w:t>
      </w:r>
    </w:p>
    <w:p w:rsidR="00DD5D67" w:rsidRPr="00FA24B5" w:rsidRDefault="00DD5D67" w:rsidP="00FA24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24B5">
        <w:rPr>
          <w:rFonts w:ascii="Times New Roman" w:hAnsi="Times New Roman" w:cs="Times New Roman"/>
          <w:sz w:val="24"/>
          <w:szCs w:val="24"/>
          <w:lang w:val="en-US"/>
        </w:rPr>
        <w:t>No one, however, would have argued that some of those pol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icy guidelines would have been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transformed into legal binding rules by national legislators and, less th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an that, in a directive passed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by the European Council and thus binding on each Member State (2016/1164).</w:t>
      </w:r>
    </w:p>
    <w:p w:rsidR="00DD5D67" w:rsidRPr="00FA24B5" w:rsidRDefault="00DD5D67" w:rsidP="00FA24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4B5">
        <w:rPr>
          <w:rFonts w:ascii="Times New Roman" w:hAnsi="Times New Roman" w:cs="Times New Roman"/>
          <w:sz w:val="24"/>
          <w:szCs w:val="24"/>
          <w:lang w:val="en-US"/>
        </w:rPr>
        <w:t>Avoidance was indeed just one of the issues addressed by the BEPS Action plan, and perhaps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 not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even the most important. The situation that prompted the project was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the intolerable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asymmetry that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emerged trough years between the place where wealth is genera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ted and the one where taxation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occurs. </w:t>
      </w:r>
    </w:p>
    <w:p w:rsidR="00DD5D67" w:rsidRPr="00FA24B5" w:rsidRDefault="00DD5D67" w:rsidP="00FA24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24B5">
        <w:rPr>
          <w:rFonts w:ascii="Times New Roman" w:hAnsi="Times New Roman" w:cs="Times New Roman"/>
          <w:sz w:val="24"/>
          <w:szCs w:val="24"/>
          <w:lang w:val="en-US"/>
        </w:rPr>
        <w:t>The traditional symmetry between these two has been progressivel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y eroded by the development of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technology (mostly IT), and the consequent difficulties to assess whe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re value is created or how the value chain is structured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. According to the traditional – classical –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paradigm taxation should occur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in the place where ability to pay is assessed (or detected) thus general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ly in the place of residence of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the taxpayer or, alternatively, in the source place when h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e operates through a permanent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establishment of its business. Normally, this happened in the very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 same place where taxpayer had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its domicile, being he or she and individual or a legal entity.</w:t>
      </w:r>
    </w:p>
    <w:p w:rsidR="00DD5D67" w:rsidRPr="00FA24B5" w:rsidRDefault="00DD5D67" w:rsidP="00FA24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4B5">
        <w:rPr>
          <w:rFonts w:ascii="Times New Roman" w:hAnsi="Times New Roman" w:cs="Times New Roman"/>
          <w:sz w:val="24"/>
          <w:szCs w:val="24"/>
          <w:lang w:val="en-US"/>
        </w:rPr>
        <w:t>The decision to intervene in the field of international tax avoid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ance was taken by the European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Commission for the reasons mentioned above and arguably also b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ecause some States had already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begun to legislate (unilaterally and without coordination) on topi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cs and issues addressed by the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PEBS Action Plan. More precisely, in 2014 – 2015, during the latest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 BEPS stage some States in the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Union enacted new provisions to address the issue of tax avoi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dance: amongst them the UK and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Italy.</w:t>
      </w:r>
    </w:p>
    <w:p w:rsidR="00DD5D67" w:rsidRPr="00CC083B" w:rsidRDefault="00DD5D67" w:rsidP="00FA24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4B5">
        <w:rPr>
          <w:rFonts w:ascii="Times New Roman" w:hAnsi="Times New Roman" w:cs="Times New Roman"/>
          <w:sz w:val="24"/>
          <w:szCs w:val="24"/>
          <w:lang w:val="en-US"/>
        </w:rPr>
        <w:t>Italy reacted to the challenges of international avoidance using both (improv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ed) Criminal law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provisions as way to put under pressure the management of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the multinationals under audit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procedure and chan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ging the anti-abuse regulations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, enacting for the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first time in recent history a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GAAR.</w:t>
      </w:r>
    </w:p>
    <w:p w:rsidR="00DD5D67" w:rsidRPr="00FA24B5" w:rsidRDefault="00DD5D67" w:rsidP="00FA24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4B5">
        <w:rPr>
          <w:rFonts w:ascii="Times New Roman" w:hAnsi="Times New Roman" w:cs="Times New Roman"/>
          <w:sz w:val="24"/>
          <w:szCs w:val="24"/>
          <w:lang w:val="en-US"/>
        </w:rPr>
        <w:t>In August 2015, after a long time, the Italian legislator actua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lly approved and implemented a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modern General anti avoidance rule (GAAR). It is probably the first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 example in history of Italian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tax law to have a provision of this kind, with such a broad potential a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pplication, and suitable to be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implemented either in income taxes, VAT but also on local duties an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d fees (actually, only Customs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duties are </w:t>
      </w:r>
      <w:proofErr w:type="gramStart"/>
      <w:r w:rsidRPr="00FA24B5">
        <w:rPr>
          <w:rFonts w:ascii="Times New Roman" w:hAnsi="Times New Roman" w:cs="Times New Roman"/>
          <w:sz w:val="24"/>
          <w:szCs w:val="24"/>
          <w:lang w:val="en-US"/>
        </w:rPr>
        <w:t>exclude</w:t>
      </w:r>
      <w:proofErr w:type="gramEnd"/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 from its application).</w:t>
      </w:r>
    </w:p>
    <w:p w:rsidR="00DD5D67" w:rsidRPr="00FA24B5" w:rsidRDefault="00DD5D67" w:rsidP="00FA24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In this way, apparently, Italy has followed the approach pursued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by many other Countries in and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outside the Union, which are one after </w:t>
      </w:r>
      <w:proofErr w:type="gramStart"/>
      <w:r w:rsidRPr="00FA24B5">
        <w:rPr>
          <w:rFonts w:ascii="Times New Roman" w:hAnsi="Times New Roman" w:cs="Times New Roman"/>
          <w:sz w:val="24"/>
          <w:szCs w:val="24"/>
          <w:lang w:val="en-US"/>
        </w:rPr>
        <w:t>another drafting similar provisi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ons</w:t>
      </w:r>
      <w:proofErr w:type="gramEnd"/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 in the attempt to escalate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the struggle against the similar problem: tax avoidance.</w:t>
      </w:r>
    </w:p>
    <w:p w:rsidR="00DD5D67" w:rsidRPr="00FA24B5" w:rsidRDefault="00DD5D67" w:rsidP="00FA24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24B5">
        <w:rPr>
          <w:rFonts w:ascii="Times New Roman" w:hAnsi="Times New Roman" w:cs="Times New Roman"/>
          <w:sz w:val="24"/>
          <w:szCs w:val="24"/>
          <w:lang w:val="en-US"/>
        </w:rPr>
        <w:t>The development of an anti-abuse doctrine, which to some extent can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 be considered equivalent to a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GARR for the effect on the taxpayer rights and duties, was facilitate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d in Europe due to the lack of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tailor-made (specific) anti-abuse provisions both in the Treaty ad in derivative legislation (Regulations and Directives as well).</w:t>
      </w:r>
    </w:p>
    <w:p w:rsidR="00460BC8" w:rsidRPr="00FA24B5" w:rsidRDefault="00460BC8" w:rsidP="00FA24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4B5">
        <w:rPr>
          <w:rFonts w:ascii="Times New Roman" w:hAnsi="Times New Roman" w:cs="Times New Roman"/>
          <w:sz w:val="24"/>
          <w:szCs w:val="24"/>
          <w:lang w:val="en-US"/>
        </w:rPr>
        <w:t>In the past, most of the anti-abuse provisions enacted in Europe were either based on the judge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made law (such as in the case of VAT) or alternatively connected to the beneficial ownership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status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just line in the case of directives related to passive income, including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 “Interest and Royalties ” and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“Parent - Subsidiary” ones.</w:t>
      </w:r>
    </w:p>
    <w:p w:rsidR="00DD5D67" w:rsidRDefault="00460BC8" w:rsidP="00FA24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A24B5">
        <w:rPr>
          <w:rFonts w:ascii="Times New Roman" w:hAnsi="Times New Roman" w:cs="Times New Roman"/>
          <w:sz w:val="24"/>
          <w:szCs w:val="24"/>
          <w:lang w:val="en-US"/>
        </w:rPr>
        <w:t>It is probably due to the efforts made by the OECD in this directi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on that the EU insisted on the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necessity to have a more comprehensive tool made available to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domestic legislators to tackle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abusive situations, since domestic (unilateral) provisions in the pas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t didn’t demonstrate to be the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best solut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ion. The “Transparency Package”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>also proved to be effective in cre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ating the background </w:t>
      </w: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conditions for this proposal to be passed by the European </w:t>
      </w:r>
      <w:proofErr w:type="gramStart"/>
      <w:r w:rsidRPr="00FA24B5">
        <w:rPr>
          <w:rFonts w:ascii="Times New Roman" w:hAnsi="Times New Roman" w:cs="Times New Roman"/>
          <w:sz w:val="24"/>
          <w:szCs w:val="24"/>
          <w:lang w:val="en-US"/>
        </w:rPr>
        <w:t>Council .</w:t>
      </w:r>
      <w:proofErr w:type="gramEnd"/>
    </w:p>
    <w:p w:rsidR="00CC083B" w:rsidRPr="00CC083B" w:rsidRDefault="00CC083B" w:rsidP="00CC08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FA24B5">
        <w:rPr>
          <w:rFonts w:ascii="Times New Roman" w:hAnsi="Times New Roman" w:cs="Times New Roman"/>
          <w:sz w:val="24"/>
          <w:szCs w:val="24"/>
          <w:lang w:val="en-US"/>
        </w:rPr>
        <w:t>Anti Tax</w:t>
      </w:r>
      <w:proofErr w:type="spellEnd"/>
      <w:r w:rsidRPr="00FA24B5">
        <w:rPr>
          <w:rFonts w:ascii="Times New Roman" w:hAnsi="Times New Roman" w:cs="Times New Roman"/>
          <w:sz w:val="24"/>
          <w:szCs w:val="24"/>
          <w:lang w:val="en-US"/>
        </w:rPr>
        <w:t xml:space="preserve"> Avoidance Directive (ATAD-1) is perhaps the most important goal achieved so far by the European Union in the struggle against international avoidance and evasion: it makes the most of the findings and recommendations OECD summarized in the BEPS action plan. </w:t>
      </w:r>
    </w:p>
    <w:p w:rsidR="00460BC8" w:rsidRPr="00CC083B" w:rsidRDefault="00460BC8" w:rsidP="00FA24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C083B">
        <w:rPr>
          <w:rFonts w:ascii="Times New Roman" w:hAnsi="Times New Roman" w:cs="Times New Roman"/>
          <w:sz w:val="24"/>
          <w:szCs w:val="24"/>
          <w:lang w:val="en-US"/>
        </w:rPr>
        <w:t>ATAD-1 has the ambitious purpose to provide a common level playing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 field in the struggle against 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>tax avoidance. The starting point of it consists in the fact that, on o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ne side, avoidance is possible 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>because some Member States haven’t got a sufficiently developed set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 of rules applicable to events 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>like these, or just because the ones they have are not entirely c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onsistent with the fundamental 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>freedoms of the Treaty.</w:t>
      </w:r>
    </w:p>
    <w:p w:rsidR="00460BC8" w:rsidRPr="00CC083B" w:rsidRDefault="00460BC8" w:rsidP="00FA24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083B">
        <w:rPr>
          <w:rFonts w:ascii="Times New Roman" w:hAnsi="Times New Roman" w:cs="Times New Roman"/>
          <w:sz w:val="24"/>
          <w:szCs w:val="24"/>
          <w:lang w:val="en-US"/>
        </w:rPr>
        <w:t>On the other side the EU Commission observed at the opening of t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he Directive that the level of 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>avoidance or base erosion within the EU and also from the EU to ou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tside has reached a level that </w:t>
      </w:r>
      <w:proofErr w:type="spellStart"/>
      <w:r w:rsidRPr="00CC083B">
        <w:rPr>
          <w:rFonts w:ascii="Times New Roman" w:hAnsi="Times New Roman" w:cs="Times New Roman"/>
          <w:sz w:val="24"/>
          <w:szCs w:val="24"/>
          <w:lang w:val="en-US"/>
        </w:rPr>
        <w:t>can not</w:t>
      </w:r>
      <w:proofErr w:type="spellEnd"/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 be tolerated any longer.</w:t>
      </w:r>
    </w:p>
    <w:p w:rsidR="00460BC8" w:rsidRPr="00CC083B" w:rsidRDefault="00460BC8" w:rsidP="00FA24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083B">
        <w:rPr>
          <w:rFonts w:ascii="Times New Roman" w:hAnsi="Times New Roman" w:cs="Times New Roman"/>
          <w:sz w:val="24"/>
          <w:szCs w:val="24"/>
          <w:lang w:val="en-US"/>
        </w:rPr>
        <w:lastRenderedPageBreak/>
        <w:t>It is evident in the text of the Directive that the two phenomena are, ho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wever, stressed with different 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>accents. On one side the Commission criticizes the profit shiftin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g phenomenon within the EU and 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>on the other side it is more aggressive with the one affecting the members States and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 involving 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>Countries that are not part of it. These two situations, being not iden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tical under law, are addressed 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>with different means and ways in the text of the Directive.</w:t>
      </w:r>
    </w:p>
    <w:p w:rsidR="00460BC8" w:rsidRPr="00CC083B" w:rsidRDefault="00460BC8" w:rsidP="00FA24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083B">
        <w:rPr>
          <w:rFonts w:ascii="Times New Roman" w:hAnsi="Times New Roman" w:cs="Times New Roman"/>
          <w:sz w:val="24"/>
          <w:szCs w:val="24"/>
          <w:lang w:val="en-US"/>
        </w:rPr>
        <w:t>It is therefore appropriate to conclude that European Union seems to take two different approaches to tax avoidance or, in other words, appears to consider tax avo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idance with a double standard, 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>depending on where the eroded profits are allocated: the anti-avoida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nce measure are tighter in the 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>second case, more relaxed in the first one. It’s arguably the need t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o strike a balance between the 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>implementation of the EU fundamental freedoms and the strug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gle against tax avoidance that 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determined this outcome. In other words, </w:t>
      </w:r>
      <w:proofErr w:type="gramStart"/>
      <w:r w:rsidRPr="00CC083B">
        <w:rPr>
          <w:rFonts w:ascii="Times New Roman" w:hAnsi="Times New Roman" w:cs="Times New Roman"/>
          <w:sz w:val="24"/>
          <w:szCs w:val="24"/>
          <w:lang w:val="en-US"/>
        </w:rPr>
        <w:t>profits shifting is</w:t>
      </w:r>
      <w:proofErr w:type="gramEnd"/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 not consid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ered entirely inappropriate if 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>it occurs within the Union: it’s a matter of legal perspectives.</w:t>
      </w:r>
    </w:p>
    <w:p w:rsidR="00460BC8" w:rsidRPr="00CC083B" w:rsidRDefault="00460BC8" w:rsidP="00FA24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083B">
        <w:rPr>
          <w:rFonts w:ascii="Times New Roman" w:hAnsi="Times New Roman" w:cs="Times New Roman"/>
          <w:sz w:val="24"/>
          <w:szCs w:val="24"/>
          <w:lang w:val="en-US"/>
        </w:rPr>
        <w:t>An analysis of the positive provisions suggested by the Commission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 makes it possible to identify 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>five different tools to be considered as adequate to deal with internat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ional tax avoidance. They are: 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>(1) a limitation on a possibility to deduct passive interests; (2) a mo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re comprehensive discipline on 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>Exit taxation; a (3) GAAR; (4) redefined CFC regulations and eve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ntually (5) some tools to deal 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>with hybrid mismatches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 (basically, a tie-break rule).</w:t>
      </w:r>
    </w:p>
    <w:p w:rsidR="00AF2B02" w:rsidRPr="00CC083B" w:rsidRDefault="00460BC8" w:rsidP="00FA24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083B">
        <w:rPr>
          <w:rFonts w:ascii="Times New Roman" w:hAnsi="Times New Roman" w:cs="Times New Roman"/>
          <w:sz w:val="24"/>
          <w:szCs w:val="24"/>
          <w:lang w:val="en-US"/>
        </w:rPr>
        <w:t>The impact of the Directive is, therefore, selective and aimed at direc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t taxation. Apparently </w:t>
      </w:r>
      <w:proofErr w:type="gramStart"/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neither 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>VAT, not Customs duties or</w:t>
      </w:r>
      <w:proofErr w:type="gramEnd"/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 excises, are considered in the scope of 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it even if in these two latter 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>fields the EU has a much broader power to intervene.</w:t>
      </w:r>
    </w:p>
    <w:p w:rsidR="00AF2B02" w:rsidRPr="00CC083B" w:rsidRDefault="00460BC8" w:rsidP="00FA24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The reasons for this are to be found in the fact that the European text, 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ever since its first draft, had 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>been so much inspired by the OECD Recommendations (which in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 their side are lacking from a 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>specific attention on the field of indirect taxation) that other taxes wer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 xml:space="preserve">e not considered as a priority </w:t>
      </w:r>
      <w:r w:rsidRPr="00CC083B">
        <w:rPr>
          <w:rFonts w:ascii="Times New Roman" w:hAnsi="Times New Roman" w:cs="Times New Roman"/>
          <w:sz w:val="24"/>
          <w:szCs w:val="24"/>
          <w:lang w:val="en-US"/>
        </w:rPr>
        <w:t>or, in the case of VAT, adequately addressed by the judge-made law, or the Abuse of law doctrine.</w:t>
      </w:r>
    </w:p>
    <w:p w:rsidR="00460BC8" w:rsidRPr="00CC083B" w:rsidRDefault="00460BC8" w:rsidP="00FA24B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0BC8" w:rsidRPr="00CC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E6"/>
    <w:rsid w:val="00385962"/>
    <w:rsid w:val="00460BC8"/>
    <w:rsid w:val="00AA12E6"/>
    <w:rsid w:val="00AF2B02"/>
    <w:rsid w:val="00CC083B"/>
    <w:rsid w:val="00DD5D67"/>
    <w:rsid w:val="00FA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2024-04-18T18:13:00Z</dcterms:created>
  <dcterms:modified xsi:type="dcterms:W3CDTF">2024-04-18T18:55:00Z</dcterms:modified>
</cp:coreProperties>
</file>